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49" w:rsidRPr="00375A49" w:rsidRDefault="00375A49" w:rsidP="00375A4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375A49">
        <w:rPr>
          <w:rFonts w:eastAsia="Calibri"/>
          <w:b/>
          <w:sz w:val="28"/>
          <w:szCs w:val="28"/>
          <w:lang w:eastAsia="ar-SA"/>
        </w:rPr>
        <w:t>Извещение №</w:t>
      </w:r>
      <w:r w:rsidR="00927B9D">
        <w:rPr>
          <w:rFonts w:eastAsia="Calibri"/>
          <w:b/>
          <w:sz w:val="28"/>
          <w:szCs w:val="28"/>
          <w:lang w:eastAsia="ar-SA"/>
        </w:rPr>
        <w:t>61</w:t>
      </w:r>
      <w:r w:rsidRPr="00375A49">
        <w:rPr>
          <w:rFonts w:eastAsia="Calibri"/>
          <w:b/>
          <w:sz w:val="28"/>
          <w:szCs w:val="28"/>
          <w:lang w:eastAsia="ar-SA"/>
        </w:rPr>
        <w:t xml:space="preserve"> от </w:t>
      </w:r>
      <w:r w:rsidR="00B265F9">
        <w:rPr>
          <w:rFonts w:eastAsia="Calibri"/>
          <w:b/>
          <w:sz w:val="28"/>
          <w:szCs w:val="28"/>
          <w:lang w:eastAsia="ar-SA"/>
        </w:rPr>
        <w:t>15</w:t>
      </w:r>
      <w:r w:rsidRPr="00375A49">
        <w:rPr>
          <w:rFonts w:eastAsia="Calibri"/>
          <w:b/>
          <w:sz w:val="28"/>
          <w:szCs w:val="28"/>
          <w:lang w:eastAsia="ar-SA"/>
        </w:rPr>
        <w:t>.</w:t>
      </w:r>
      <w:r w:rsidR="00032C0E">
        <w:rPr>
          <w:rFonts w:eastAsia="Calibri"/>
          <w:b/>
          <w:sz w:val="28"/>
          <w:szCs w:val="28"/>
          <w:lang w:eastAsia="ar-SA"/>
        </w:rPr>
        <w:t>0</w:t>
      </w:r>
      <w:r w:rsidR="00B265F9">
        <w:rPr>
          <w:rFonts w:eastAsia="Calibri"/>
          <w:b/>
          <w:sz w:val="28"/>
          <w:szCs w:val="28"/>
          <w:lang w:eastAsia="ar-SA"/>
        </w:rPr>
        <w:t>8</w:t>
      </w:r>
      <w:r w:rsidRPr="00375A49">
        <w:rPr>
          <w:rFonts w:eastAsia="Calibri"/>
          <w:b/>
          <w:sz w:val="28"/>
          <w:szCs w:val="28"/>
          <w:lang w:eastAsia="ar-SA"/>
        </w:rPr>
        <w:t>.20</w:t>
      </w:r>
      <w:r w:rsidR="00032C0E">
        <w:rPr>
          <w:rFonts w:eastAsia="Calibri"/>
          <w:b/>
          <w:sz w:val="28"/>
          <w:szCs w:val="28"/>
          <w:lang w:eastAsia="ar-SA"/>
        </w:rPr>
        <w:t>1</w:t>
      </w:r>
      <w:r w:rsidR="00DF7AB2">
        <w:rPr>
          <w:rFonts w:eastAsia="Calibri"/>
          <w:b/>
          <w:sz w:val="28"/>
          <w:szCs w:val="28"/>
          <w:lang w:eastAsia="ar-SA"/>
        </w:rPr>
        <w:t>6</w:t>
      </w:r>
      <w:r w:rsidRPr="00375A49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375A49" w:rsidRPr="00375A49" w:rsidRDefault="00375A49" w:rsidP="00375A4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75A49" w:rsidRPr="00375A49" w:rsidRDefault="00375A49" w:rsidP="00375A49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375A49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AE4D1C">
        <w:rPr>
          <w:rFonts w:eastAsia="Calibri"/>
          <w:sz w:val="28"/>
          <w:szCs w:val="28"/>
          <w:lang w:eastAsia="ar-SA"/>
        </w:rPr>
        <w:t>предложений</w:t>
      </w:r>
    </w:p>
    <w:p w:rsidR="00375A49" w:rsidRPr="00375A49" w:rsidRDefault="00375A49" w:rsidP="00375A49">
      <w:pPr>
        <w:suppressAutoHyphens/>
        <w:jc w:val="center"/>
        <w:rPr>
          <w:rFonts w:eastAsia="Calibri"/>
          <w:sz w:val="28"/>
          <w:szCs w:val="28"/>
          <w:lang w:eastAsia="ar-SA"/>
        </w:rPr>
      </w:pPr>
    </w:p>
    <w:tbl>
      <w:tblPr>
        <w:tblW w:w="99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032"/>
      </w:tblGrid>
      <w:tr w:rsidR="00375A49" w:rsidRPr="00375A49" w:rsidTr="003C1AD8">
        <w:trPr>
          <w:trHeight w:val="765"/>
        </w:trPr>
        <w:tc>
          <w:tcPr>
            <w:tcW w:w="4962" w:type="dxa"/>
            <w:hideMark/>
          </w:tcPr>
          <w:p w:rsidR="00375A49" w:rsidRPr="00375A49" w:rsidRDefault="00375A49" w:rsidP="00375A4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b/>
                <w:sz w:val="28"/>
                <w:szCs w:val="28"/>
                <w:lang w:eastAsia="ar-SA"/>
              </w:rPr>
              <w:t>1. Заказчик</w:t>
            </w: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032" w:type="dxa"/>
          </w:tcPr>
          <w:p w:rsidR="006B68A3" w:rsidRDefault="00EB7E81" w:rsidP="00EB7E81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Акционерное </w:t>
            </w:r>
            <w:r w:rsidR="00375A49" w:rsidRPr="00375A49">
              <w:rPr>
                <w:rFonts w:eastAsia="Calibri"/>
                <w:b/>
                <w:sz w:val="28"/>
                <w:szCs w:val="28"/>
                <w:lang w:eastAsia="ar-SA"/>
              </w:rPr>
              <w:t>общес</w:t>
            </w:r>
            <w:r w:rsidR="00FD0CCA">
              <w:rPr>
                <w:rFonts w:eastAsia="Calibri"/>
                <w:b/>
                <w:sz w:val="28"/>
                <w:szCs w:val="28"/>
                <w:lang w:eastAsia="ar-SA"/>
              </w:rPr>
              <w:t>тво «</w:t>
            </w:r>
            <w:r w:rsidR="007812BC" w:rsidRPr="007812BC">
              <w:rPr>
                <w:rFonts w:eastAsia="Calibri"/>
                <w:b/>
                <w:sz w:val="28"/>
                <w:szCs w:val="28"/>
                <w:lang w:eastAsia="ar-SA"/>
              </w:rPr>
              <w:t>Белгородские молочные фермы</w:t>
            </w:r>
            <w:r w:rsidR="00FD0CCA">
              <w:rPr>
                <w:rFonts w:eastAsia="Calibri"/>
                <w:b/>
                <w:sz w:val="28"/>
                <w:szCs w:val="28"/>
                <w:lang w:eastAsia="ar-SA"/>
              </w:rPr>
              <w:t>»</w:t>
            </w: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color w:val="548DD4"/>
                <w:sz w:val="28"/>
                <w:szCs w:val="28"/>
                <w:u w:val="single"/>
                <w:lang w:eastAsia="ar-SA"/>
              </w:rPr>
            </w:pPr>
          </w:p>
        </w:tc>
      </w:tr>
      <w:tr w:rsidR="008002EF" w:rsidRPr="00375A49" w:rsidTr="003C1AD8">
        <w:trPr>
          <w:trHeight w:val="1335"/>
        </w:trPr>
        <w:tc>
          <w:tcPr>
            <w:tcW w:w="4962" w:type="dxa"/>
          </w:tcPr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Фактический адрес:</w:t>
            </w:r>
          </w:p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032" w:type="dxa"/>
          </w:tcPr>
          <w:p w:rsidR="008002EF" w:rsidRDefault="005912FD" w:rsidP="005912FD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5912FD">
              <w:rPr>
                <w:rFonts w:eastAsia="Calibri"/>
                <w:sz w:val="28"/>
                <w:szCs w:val="28"/>
                <w:lang w:eastAsia="ar-SA"/>
              </w:rPr>
              <w:t>309130, Российская Федерация Белгородская область, Ивнянский район, хутор Зоринские дворы</w:t>
            </w:r>
            <w:r w:rsidR="008002EF" w:rsidRPr="00FD0CCA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</w:tr>
      <w:tr w:rsidR="008002EF" w:rsidRPr="00375A49" w:rsidTr="003C1AD8">
        <w:trPr>
          <w:trHeight w:val="1665"/>
        </w:trPr>
        <w:tc>
          <w:tcPr>
            <w:tcW w:w="4962" w:type="dxa"/>
          </w:tcPr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Юридический адрес:</w:t>
            </w:r>
          </w:p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032" w:type="dxa"/>
          </w:tcPr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FD0CCA" w:rsidRDefault="005912FD" w:rsidP="005912FD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912FD">
              <w:rPr>
                <w:rFonts w:eastAsia="Calibri"/>
                <w:sz w:val="28"/>
                <w:szCs w:val="28"/>
                <w:lang w:eastAsia="ar-SA"/>
              </w:rPr>
              <w:t>309130, Российская Федерация Белгородская область, Ивнянский район, хутор Зоринские дворы.</w:t>
            </w:r>
          </w:p>
        </w:tc>
      </w:tr>
      <w:tr w:rsidR="008002EF" w:rsidRPr="00375A49" w:rsidTr="003C1AD8">
        <w:trPr>
          <w:trHeight w:val="750"/>
        </w:trPr>
        <w:tc>
          <w:tcPr>
            <w:tcW w:w="4962" w:type="dxa"/>
          </w:tcPr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Ответственный за закупку</w:t>
            </w:r>
          </w:p>
          <w:p w:rsidR="008002EF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032" w:type="dxa"/>
          </w:tcPr>
          <w:p w:rsidR="008002EF" w:rsidRPr="003F4362" w:rsidRDefault="008002EF" w:rsidP="008002EF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8002EF" w:rsidRDefault="005912FD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5912FD">
              <w:rPr>
                <w:rFonts w:eastAsia="Calibri"/>
                <w:b/>
                <w:sz w:val="28"/>
                <w:szCs w:val="28"/>
                <w:lang w:val="en-US" w:eastAsia="ar-SA"/>
              </w:rPr>
              <w:t>Никулин</w:t>
            </w:r>
            <w:proofErr w:type="spellEnd"/>
            <w:r w:rsidRPr="005912FD">
              <w:rPr>
                <w:rFonts w:eastAsia="Calibri"/>
                <w:b/>
                <w:sz w:val="28"/>
                <w:szCs w:val="28"/>
                <w:lang w:val="en-US" w:eastAsia="ar-SA"/>
              </w:rPr>
              <w:t xml:space="preserve"> Андрей Владимирович</w:t>
            </w:r>
          </w:p>
        </w:tc>
      </w:tr>
      <w:tr w:rsidR="008002EF" w:rsidRPr="00375A49" w:rsidTr="003C1AD8">
        <w:trPr>
          <w:trHeight w:val="465"/>
        </w:trPr>
        <w:tc>
          <w:tcPr>
            <w:tcW w:w="4962" w:type="dxa"/>
          </w:tcPr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Должность ответственного</w:t>
            </w: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032" w:type="dxa"/>
          </w:tcPr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Директор</w:t>
            </w:r>
          </w:p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8002EF" w:rsidRPr="00375A49" w:rsidTr="003C1AD8">
        <w:trPr>
          <w:trHeight w:val="750"/>
        </w:trPr>
        <w:tc>
          <w:tcPr>
            <w:tcW w:w="4962" w:type="dxa"/>
          </w:tcPr>
          <w:p w:rsidR="008002EF" w:rsidRPr="00375A49" w:rsidRDefault="008002EF" w:rsidP="008002EF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E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mail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032" w:type="dxa"/>
          </w:tcPr>
          <w:p w:rsidR="008002EF" w:rsidRDefault="008002EF" w:rsidP="008002EF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216A3A">
              <w:rPr>
                <w:rFonts w:eastAsia="Calibri"/>
                <w:color w:val="548DD4"/>
                <w:sz w:val="28"/>
                <w:szCs w:val="28"/>
                <w:u w:val="single"/>
                <w:lang w:val="en-US" w:eastAsia="ar-SA"/>
              </w:rPr>
              <w:t>greendale</w:t>
            </w:r>
            <w:hyperlink r:id="rId8" w:history="1">
              <w:r w:rsidRPr="006B68A3">
                <w:rPr>
                  <w:rFonts w:eastAsia="Calibri"/>
                  <w:color w:val="548DD4"/>
                  <w:sz w:val="28"/>
                  <w:szCs w:val="28"/>
                  <w:u w:val="single"/>
                  <w:lang w:eastAsia="ar-SA"/>
                </w:rPr>
                <w:t>@</w:t>
              </w:r>
              <w:r w:rsidRPr="006B68A3">
                <w:rPr>
                  <w:rFonts w:eastAsia="Calibri"/>
                  <w:color w:val="548DD4"/>
                  <w:sz w:val="28"/>
                  <w:szCs w:val="28"/>
                  <w:u w:val="single"/>
                  <w:lang w:val="en-US" w:eastAsia="ar-SA"/>
                </w:rPr>
                <w:t>greendale</w:t>
              </w:r>
              <w:r w:rsidRPr="006B68A3">
                <w:rPr>
                  <w:rFonts w:eastAsia="Calibri"/>
                  <w:color w:val="548DD4"/>
                  <w:sz w:val="28"/>
                  <w:szCs w:val="28"/>
                  <w:u w:val="single"/>
                  <w:lang w:eastAsia="ar-SA"/>
                </w:rPr>
                <w:t>31.</w:t>
              </w:r>
              <w:r w:rsidRPr="006B68A3">
                <w:rPr>
                  <w:rFonts w:eastAsia="Calibri"/>
                  <w:color w:val="548DD4"/>
                  <w:sz w:val="28"/>
                  <w:szCs w:val="28"/>
                  <w:u w:val="single"/>
                  <w:lang w:val="en-US" w:eastAsia="ar-SA"/>
                </w:rPr>
                <w:t>ru</w:t>
              </w:r>
            </w:hyperlink>
          </w:p>
        </w:tc>
      </w:tr>
    </w:tbl>
    <w:p w:rsidR="00375A49" w:rsidRDefault="00375A49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EB7E81" w:rsidRDefault="00EB7E81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A860DC" w:rsidRPr="00D24389" w:rsidRDefault="00A860DC" w:rsidP="00A860D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D24389">
        <w:rPr>
          <w:rFonts w:eastAsia="Calibri"/>
          <w:b/>
          <w:sz w:val="22"/>
          <w:szCs w:val="22"/>
          <w:lang w:eastAsia="ar-SA"/>
        </w:rPr>
        <w:t>2. Общая стоимость и общие условия закупки</w:t>
      </w: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4879"/>
      </w:tblGrid>
      <w:tr w:rsidR="00A860DC" w:rsidRPr="00D24389" w:rsidTr="008E7C87">
        <w:trPr>
          <w:trHeight w:val="471"/>
        </w:trPr>
        <w:tc>
          <w:tcPr>
            <w:tcW w:w="256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DC" w:rsidRPr="00D24389" w:rsidRDefault="00A860DC" w:rsidP="000F459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A860DC" w:rsidRPr="00D24389" w:rsidRDefault="00A860DC" w:rsidP="000F459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A860DC" w:rsidRDefault="00A860DC" w:rsidP="000F459B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Выбор поставщика услуг </w:t>
            </w:r>
            <w:r w:rsidR="00C17CAF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C17CAF" w:rsidRPr="00C17CAF">
              <w:rPr>
                <w:rFonts w:eastAsia="Calibri"/>
                <w:sz w:val="22"/>
                <w:szCs w:val="22"/>
                <w:lang w:eastAsia="ar-SA"/>
              </w:rPr>
              <w:t>ремонту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B265F9">
              <w:rPr>
                <w:rFonts w:eastAsia="Calibri"/>
                <w:sz w:val="22"/>
                <w:szCs w:val="22"/>
                <w:lang w:eastAsia="ar-SA"/>
              </w:rPr>
              <w:t>легковых автомобилей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C1AD8" w:rsidRPr="00D24389" w:rsidRDefault="003C1AD8" w:rsidP="000F459B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536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Полная стоимость закупки</w:t>
            </w: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81237" w:rsidRPr="00081237" w:rsidRDefault="00081237" w:rsidP="0008123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081237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 w:rsidR="005912FD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Pr="00081237">
              <w:rPr>
                <w:rFonts w:eastAsia="Calibri"/>
                <w:sz w:val="22"/>
                <w:szCs w:val="22"/>
                <w:lang w:eastAsia="ar-SA"/>
              </w:rPr>
              <w:t xml:space="preserve"> -  </w:t>
            </w:r>
            <w:r w:rsidR="00CD2529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081237">
              <w:rPr>
                <w:rFonts w:eastAsia="Calibri"/>
                <w:sz w:val="22"/>
                <w:szCs w:val="22"/>
                <w:lang w:eastAsia="ar-SA"/>
              </w:rPr>
              <w:t xml:space="preserve"> 000 000 рублей РФ;</w:t>
            </w:r>
          </w:p>
          <w:p w:rsidR="003C1AD8" w:rsidRDefault="003C1AD8" w:rsidP="00E55FE4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685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Default="000F2534" w:rsidP="00E55FE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0F2534" w:rsidP="00E55FE4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условиям, указанным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в проекте Договора и          в лоте №1.</w:t>
            </w:r>
          </w:p>
          <w:p w:rsidR="003C1AD8" w:rsidRPr="00333795" w:rsidRDefault="003C1AD8" w:rsidP="00E55FE4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767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  <w:p w:rsidR="000F2534" w:rsidRPr="00333795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0F2534" w:rsidP="00E55FE4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Стоимость оказываемых услуг включает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все предусмотренные действующим законодательством налоги и сборы.</w:t>
            </w:r>
          </w:p>
          <w:p w:rsidR="003C1AD8" w:rsidRPr="00D24389" w:rsidRDefault="003C1AD8" w:rsidP="00E55FE4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281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0F2534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Pr="00AE4D1C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C1AD8" w:rsidRDefault="003C1AD8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272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333795" w:rsidRDefault="000F2534" w:rsidP="00E55FE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Количество закупаемых лотов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5912FD" w:rsidP="00E55FE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  <w:p w:rsidR="003C1AD8" w:rsidRPr="00333795" w:rsidRDefault="003C1AD8" w:rsidP="00E55FE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271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D24389" w:rsidRDefault="000F2534" w:rsidP="00F84CA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Тип торгов (по лоту в целом)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0F2534" w:rsidP="00F84CA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  <w:p w:rsidR="003C1AD8" w:rsidRPr="00D24389" w:rsidRDefault="003C1AD8" w:rsidP="00F84CA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691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D24389" w:rsidRDefault="00F84CAC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F84CAC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 xml:space="preserve"> оказания услуг)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E774AD" w:rsidRPr="00D24389" w:rsidRDefault="000F2534" w:rsidP="00E774AD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F84CAC" w:rsidRPr="00F84CAC">
              <w:rPr>
                <w:rFonts w:eastAsia="Calibri"/>
                <w:sz w:val="22"/>
                <w:szCs w:val="22"/>
                <w:lang w:eastAsia="ar-SA"/>
              </w:rPr>
              <w:t xml:space="preserve">Услуги будут осуществляться в соответствии с </w:t>
            </w:r>
            <w:r>
              <w:rPr>
                <w:rFonts w:eastAsia="Calibri"/>
                <w:sz w:val="22"/>
                <w:szCs w:val="22"/>
                <w:lang w:eastAsia="ar-SA"/>
              </w:rPr>
              <w:t>условиями договора и лота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0F2534" w:rsidRPr="00D24389" w:rsidTr="008E7C87">
        <w:trPr>
          <w:trHeight w:val="5925"/>
        </w:trPr>
        <w:tc>
          <w:tcPr>
            <w:tcW w:w="2568" w:type="pct"/>
            <w:tcBorders>
              <w:top w:val="nil"/>
              <w:bottom w:val="nil"/>
              <w:righ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333795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</w:t>
            </w:r>
            <w:r>
              <w:rPr>
                <w:rFonts w:eastAsia="Calibri"/>
                <w:sz w:val="22"/>
                <w:szCs w:val="22"/>
                <w:lang w:eastAsia="ar-SA"/>
              </w:rPr>
              <w:t>существляющим услуги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, являющихся предметом торгов.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Не проведение ликвидации участника размещения заказа и не проведение в отношении участника, размещения заказа процедуры банкротства. 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Не приостановление деятельности участника размещения заказа в соответствии с КоАП РФ на день подачи заявки на участие в аукционе.</w:t>
            </w: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Должен иметь опыт выполнения </w:t>
            </w:r>
            <w:r>
              <w:rPr>
                <w:rFonts w:eastAsia="Calibri"/>
                <w:sz w:val="22"/>
                <w:szCs w:val="22"/>
                <w:lang w:eastAsia="ar-SA"/>
              </w:rPr>
              <w:t>аналогичных договоров.</w:t>
            </w: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               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АО «</w:t>
            </w:r>
            <w:r w:rsidR="005912FD" w:rsidRPr="005912FD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».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8E7C87">
        <w:trPr>
          <w:trHeight w:val="3386"/>
        </w:trPr>
        <w:tc>
          <w:tcPr>
            <w:tcW w:w="256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2432" w:type="pct"/>
            <w:tcBorders>
              <w:lef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Соответствие требованиям, изложенным в насто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ящем извещении: 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 минимальные расценки на услуги;</w:t>
            </w:r>
          </w:p>
          <w:p w:rsidR="000F2534" w:rsidRPr="00FD5003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 и</w:t>
            </w:r>
            <w:r w:rsidRPr="00FD5003">
              <w:rPr>
                <w:rFonts w:eastAsia="Calibri"/>
                <w:sz w:val="22"/>
                <w:szCs w:val="22"/>
                <w:lang w:eastAsia="ar-SA"/>
              </w:rPr>
              <w:t>сполнитель должен являться официальным представителем или дилером ф</w:t>
            </w:r>
            <w:r>
              <w:rPr>
                <w:rFonts w:eastAsia="Calibri"/>
                <w:sz w:val="22"/>
                <w:szCs w:val="22"/>
                <w:lang w:eastAsia="ar-SA"/>
              </w:rPr>
              <w:t>ирм производителей техники;</w:t>
            </w:r>
          </w:p>
          <w:p w:rsidR="000F2534" w:rsidRPr="00FD5003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 с</w:t>
            </w:r>
            <w:r w:rsidRPr="00FD5003">
              <w:rPr>
                <w:rFonts w:eastAsia="Calibri"/>
                <w:sz w:val="22"/>
                <w:szCs w:val="22"/>
                <w:lang w:eastAsia="ar-SA"/>
              </w:rPr>
              <w:t>пециалисты инженерной службы должны быть сертифицированы и иметь допу</w:t>
            </w:r>
            <w:r>
              <w:rPr>
                <w:rFonts w:eastAsia="Calibri"/>
                <w:sz w:val="22"/>
                <w:szCs w:val="22"/>
                <w:lang w:eastAsia="ar-SA"/>
              </w:rPr>
              <w:t>ск к выполнению ремонтных работ;</w:t>
            </w:r>
          </w:p>
          <w:p w:rsidR="000F2534" w:rsidRPr="00FD5003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-н</w:t>
            </w:r>
            <w:r w:rsidRPr="00FD5003">
              <w:rPr>
                <w:rFonts w:eastAsia="Calibri"/>
                <w:sz w:val="22"/>
                <w:szCs w:val="22"/>
                <w:lang w:eastAsia="ar-SA"/>
              </w:rPr>
              <w:t xml:space="preserve">аличие специализированной </w:t>
            </w:r>
            <w:r w:rsidRPr="00C17CAF">
              <w:rPr>
                <w:rFonts w:eastAsia="Calibri"/>
                <w:sz w:val="22"/>
                <w:szCs w:val="22"/>
                <w:lang w:eastAsia="ar-SA"/>
              </w:rPr>
              <w:t xml:space="preserve">ремонтных </w:t>
            </w:r>
            <w:r w:rsidRPr="00FD5003">
              <w:rPr>
                <w:rFonts w:eastAsia="Calibri"/>
                <w:sz w:val="22"/>
                <w:szCs w:val="22"/>
                <w:lang w:eastAsia="ar-SA"/>
              </w:rPr>
              <w:t>мастерской со складом запасных частей на удаленнос</w:t>
            </w:r>
            <w:r>
              <w:rPr>
                <w:rFonts w:eastAsia="Calibri"/>
                <w:sz w:val="22"/>
                <w:szCs w:val="22"/>
                <w:lang w:eastAsia="ar-SA"/>
              </w:rPr>
              <w:t>ти от Заказчика не более 100 км;</w:t>
            </w:r>
          </w:p>
          <w:p w:rsidR="000F2534" w:rsidRPr="00D24389" w:rsidRDefault="000F2534" w:rsidP="00392E3D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- </w:t>
            </w:r>
            <w:r w:rsidRPr="00FD5003">
              <w:rPr>
                <w:rFonts w:eastAsia="Calibri"/>
                <w:sz w:val="22"/>
                <w:szCs w:val="22"/>
                <w:lang w:eastAsia="ar-SA"/>
              </w:rPr>
              <w:t>качество и своевременность выполненных работ.</w:t>
            </w:r>
          </w:p>
        </w:tc>
      </w:tr>
    </w:tbl>
    <w:p w:rsidR="006F3D0A" w:rsidRPr="007F05D2" w:rsidRDefault="006F3D0A" w:rsidP="00A860D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A860DC" w:rsidRPr="00D24389" w:rsidRDefault="00A860DC" w:rsidP="00A860D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D24389">
        <w:rPr>
          <w:rFonts w:eastAsia="Calibri"/>
          <w:b/>
          <w:sz w:val="22"/>
          <w:szCs w:val="22"/>
          <w:lang w:eastAsia="ar-SA"/>
        </w:rPr>
        <w:t>3. Описание предмета закупки</w:t>
      </w:r>
    </w:p>
    <w:p w:rsidR="00A860DC" w:rsidRPr="00D24389" w:rsidRDefault="00A860DC" w:rsidP="00A860D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5055"/>
      </w:tblGrid>
      <w:tr w:rsidR="00A860DC" w:rsidRPr="00D24389" w:rsidTr="00E774AD">
        <w:trPr>
          <w:trHeight w:val="493"/>
        </w:trPr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DC" w:rsidRPr="00D24389" w:rsidRDefault="00A860DC" w:rsidP="00CD25F6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Наименование лота (товара, работы, услуги)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81237" w:rsidRPr="00081237" w:rsidRDefault="00081237" w:rsidP="00081237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81237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 w:rsidR="002B2DD3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050008"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  <w:r w:rsidRPr="00081237">
              <w:rPr>
                <w:rFonts w:eastAsia="Calibri"/>
                <w:sz w:val="22"/>
                <w:szCs w:val="22"/>
                <w:lang w:eastAsia="ar-SA"/>
              </w:rPr>
              <w:t xml:space="preserve"> Выбор поставщика услуг по ремонту </w:t>
            </w:r>
            <w:r w:rsidR="00B265F9">
              <w:rPr>
                <w:rFonts w:eastAsia="Calibri"/>
                <w:sz w:val="22"/>
                <w:szCs w:val="22"/>
                <w:lang w:eastAsia="ar-SA"/>
              </w:rPr>
              <w:t>легковых автомобилей</w:t>
            </w:r>
            <w:r w:rsidRPr="00081237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C1AD8" w:rsidRPr="00D24389" w:rsidRDefault="003C1AD8" w:rsidP="00CD25F6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E774AD">
        <w:trPr>
          <w:trHeight w:val="3214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050008" w:rsidRDefault="00050008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F2534" w:rsidRPr="000310CA" w:rsidRDefault="000F2534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Предоставление гарантии на все виды работ </w:t>
            </w:r>
            <w:r w:rsidR="00863D88">
              <w:rPr>
                <w:rFonts w:eastAsia="Calibri"/>
                <w:sz w:val="22"/>
                <w:szCs w:val="22"/>
                <w:lang w:eastAsia="ar-SA"/>
              </w:rPr>
              <w:t>в рамках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1</w:t>
            </w:r>
            <w:r w:rsidR="00B265F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000 </w:t>
            </w:r>
            <w:r w:rsidR="00B265F9">
              <w:rPr>
                <w:rFonts w:eastAsia="Calibri"/>
                <w:sz w:val="22"/>
                <w:szCs w:val="22"/>
                <w:lang w:eastAsia="ar-SA"/>
              </w:rPr>
              <w:t>пройденных километров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0F2534" w:rsidRDefault="000F2534" w:rsidP="000F2534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Default="000F2534" w:rsidP="00CD25F6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E774AD">
        <w:trPr>
          <w:trHeight w:val="275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Default="000F2534" w:rsidP="00F84CA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lastRenderedPageBreak/>
              <w:t>Начальная максимальная стоимость лота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2A2B5E" w:rsidRPr="002A2B5E" w:rsidRDefault="000F2534" w:rsidP="002A2B5E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 w:rsidR="00081237">
              <w:rPr>
                <w:rFonts w:eastAsia="Calibri"/>
                <w:sz w:val="22"/>
                <w:szCs w:val="22"/>
                <w:lang w:eastAsia="ar-SA"/>
              </w:rPr>
              <w:t xml:space="preserve">от </w:t>
            </w:r>
            <w:r w:rsidR="002A2B5E" w:rsidRPr="002A2B5E">
              <w:rPr>
                <w:rFonts w:eastAsia="Calibri"/>
                <w:sz w:val="22"/>
                <w:szCs w:val="22"/>
                <w:lang w:eastAsia="ar-SA"/>
              </w:rPr>
              <w:t>№</w:t>
            </w:r>
            <w:r w:rsidR="002B2DD3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081237" w:rsidRPr="00081237"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  <w:r w:rsidR="002A2B5E" w:rsidRPr="002A2B5E">
              <w:rPr>
                <w:rFonts w:eastAsia="Calibri"/>
                <w:sz w:val="22"/>
                <w:szCs w:val="22"/>
                <w:lang w:eastAsia="ar-SA"/>
              </w:rPr>
              <w:t xml:space="preserve">  </w:t>
            </w:r>
            <w:r w:rsidR="00CD2529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2A2B5E">
              <w:rPr>
                <w:rFonts w:eastAsia="Calibri"/>
                <w:sz w:val="22"/>
                <w:szCs w:val="22"/>
                <w:lang w:eastAsia="ar-SA"/>
              </w:rPr>
              <w:t xml:space="preserve"> 000</w:t>
            </w:r>
            <w:r w:rsidR="002A2B5E" w:rsidRPr="002A2B5E">
              <w:rPr>
                <w:rFonts w:eastAsia="Calibri"/>
                <w:sz w:val="22"/>
                <w:szCs w:val="22"/>
                <w:lang w:eastAsia="ar-SA"/>
              </w:rPr>
              <w:t xml:space="preserve"> 000 рублей РФ;</w:t>
            </w:r>
          </w:p>
          <w:p w:rsidR="003C1AD8" w:rsidRDefault="003C1AD8" w:rsidP="00F84CA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E774AD">
        <w:trPr>
          <w:trHeight w:val="311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F2534" w:rsidRDefault="000F2534" w:rsidP="00CD25F6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  <w:p w:rsidR="003C1AD8" w:rsidRPr="00D24389" w:rsidRDefault="003C1AD8" w:rsidP="00CD25F6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E774AD">
        <w:trPr>
          <w:trHeight w:val="1067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F2534" w:rsidRPr="00D24389" w:rsidRDefault="000F2534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Услуги осуществляются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согласно у</w:t>
            </w:r>
            <w:r>
              <w:rPr>
                <w:rFonts w:eastAsia="Calibri"/>
                <w:sz w:val="22"/>
                <w:szCs w:val="22"/>
                <w:lang w:eastAsia="ar-SA"/>
              </w:rPr>
              <w:t>словий договора и лота.</w:t>
            </w: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C1AD8" w:rsidRPr="00D24389" w:rsidRDefault="003C1AD8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CD25F6" w:rsidRPr="00D24389" w:rsidTr="00E774AD">
        <w:trPr>
          <w:trHeight w:val="238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Pr="00C362FB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 </w:t>
            </w: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D25F6" w:rsidRPr="00D24389" w:rsidRDefault="00CD25F6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Pr="00C362FB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Pr="00C362FB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Pr="00C362FB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и в которой указана наиболее низкая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цена и наилучшие условия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CD25F6" w:rsidRPr="00D24389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Победитель так же должен подходить по следующим критериям:</w:t>
            </w:r>
          </w:p>
          <w:p w:rsidR="00CD25F6" w:rsidRPr="00641868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t xml:space="preserve"> </w:t>
            </w:r>
            <w:r w:rsidRPr="00641868">
              <w:rPr>
                <w:rFonts w:eastAsia="Calibri"/>
                <w:sz w:val="22"/>
                <w:szCs w:val="22"/>
                <w:lang w:eastAsia="ar-SA"/>
              </w:rPr>
              <w:t>минимальные расценки на услуги;</w:t>
            </w:r>
          </w:p>
          <w:p w:rsidR="00CD25F6" w:rsidRPr="00641868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  <w:r w:rsidRPr="00641868">
              <w:rPr>
                <w:rFonts w:eastAsia="Calibri"/>
                <w:sz w:val="22"/>
                <w:szCs w:val="22"/>
                <w:lang w:eastAsia="ar-SA"/>
              </w:rPr>
              <w:t>исполнитель должен являться официальным представителем или дилером фирм производителей техники;</w:t>
            </w:r>
          </w:p>
          <w:p w:rsidR="00CD25F6" w:rsidRPr="00641868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641868">
              <w:rPr>
                <w:rFonts w:eastAsia="Calibri"/>
                <w:sz w:val="22"/>
                <w:szCs w:val="22"/>
                <w:lang w:eastAsia="ar-SA"/>
              </w:rPr>
              <w:t xml:space="preserve">- специалисты инженерной службы должны быть сертифицированы и иметь допуск к выполнению </w:t>
            </w:r>
            <w:r w:rsidRPr="008B31AA">
              <w:rPr>
                <w:rFonts w:eastAsia="Calibri"/>
                <w:sz w:val="22"/>
                <w:szCs w:val="22"/>
                <w:lang w:eastAsia="ar-SA"/>
              </w:rPr>
              <w:t xml:space="preserve">ремонтных </w:t>
            </w:r>
            <w:r w:rsidRPr="00641868">
              <w:rPr>
                <w:rFonts w:eastAsia="Calibri"/>
                <w:sz w:val="22"/>
                <w:szCs w:val="22"/>
                <w:lang w:eastAsia="ar-SA"/>
              </w:rPr>
              <w:t>работ;</w:t>
            </w:r>
          </w:p>
          <w:p w:rsidR="00CD25F6" w:rsidRPr="00641868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641868">
              <w:rPr>
                <w:rFonts w:eastAsia="Calibri"/>
                <w:sz w:val="22"/>
                <w:szCs w:val="22"/>
                <w:lang w:eastAsia="ar-SA"/>
              </w:rPr>
              <w:t xml:space="preserve">-наличие специализированной </w:t>
            </w:r>
            <w:r w:rsidRPr="008B31AA">
              <w:rPr>
                <w:rFonts w:eastAsia="Calibri"/>
                <w:sz w:val="22"/>
                <w:szCs w:val="22"/>
                <w:lang w:eastAsia="ar-SA"/>
              </w:rPr>
              <w:t>ремонтн</w:t>
            </w:r>
            <w:r>
              <w:rPr>
                <w:rFonts w:eastAsia="Calibri"/>
                <w:sz w:val="22"/>
                <w:szCs w:val="22"/>
                <w:lang w:eastAsia="ar-SA"/>
              </w:rPr>
              <w:t>ой</w:t>
            </w:r>
            <w:r w:rsidRPr="008B31A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641868">
              <w:rPr>
                <w:rFonts w:eastAsia="Calibri"/>
                <w:sz w:val="22"/>
                <w:szCs w:val="22"/>
                <w:lang w:eastAsia="ar-SA"/>
              </w:rPr>
              <w:t>мастерской со складом запасных частей на удаленности от Заказчика не более 100 км;</w:t>
            </w:r>
          </w:p>
          <w:p w:rsidR="00CD25F6" w:rsidRDefault="00CD25F6" w:rsidP="00CD25F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641868">
              <w:rPr>
                <w:rFonts w:eastAsia="Calibri"/>
                <w:sz w:val="22"/>
                <w:szCs w:val="22"/>
                <w:lang w:eastAsia="ar-SA"/>
              </w:rPr>
              <w:t>- качество и своевременность выполненных работ.</w:t>
            </w:r>
          </w:p>
          <w:p w:rsidR="00CD25F6" w:rsidRDefault="00CD25F6" w:rsidP="00F3488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Предусмотрена возможность проведения процедуры переторжки. Допускается с</w:t>
            </w:r>
            <w:r>
              <w:rPr>
                <w:rFonts w:eastAsia="Calibri"/>
                <w:sz w:val="22"/>
                <w:szCs w:val="22"/>
                <w:lang w:eastAsia="ar-SA"/>
              </w:rPr>
              <w:t>нижение участниками тендера стоимости услуг от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своих первоначально поданных заявок на участие в запросе </w:t>
            </w:r>
            <w:r w:rsidRPr="00C362FB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при личном участии. Победитель торгов предоставляет свое согласие с предложенным проектом договора или готовность подписать договор по лоту в целом по итогам проведения торгов в форме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, по цене указанной Победителем, признанной лучшей (согласно протоколу проведения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) без ухудшения для заказчика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CD25F6">
              <w:rPr>
                <w:rFonts w:eastAsia="Calibri"/>
                <w:sz w:val="22"/>
                <w:szCs w:val="22"/>
                <w:lang w:eastAsia="ar-SA"/>
              </w:rPr>
              <w:t>существенных условий договора. Договор должен быть заключен не позднее трех рабочих дней со дня размещения на официальном сайте протокола рассмотрения и оценки предложений</w:t>
            </w:r>
          </w:p>
          <w:p w:rsidR="003C1AD8" w:rsidRDefault="003C1AD8" w:rsidP="00F3488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2B2DD3">
        <w:trPr>
          <w:trHeight w:val="779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Дата и время начала торгов путем проведения 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F2534" w:rsidRPr="00D24389" w:rsidRDefault="00B265F9" w:rsidP="00F3488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15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0F2534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863D88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0F2534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6A684C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6A684C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0F2534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  <w:p w:rsidR="000F2534" w:rsidRDefault="000F2534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C1AD8" w:rsidRPr="00D24389" w:rsidRDefault="003C1AD8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A37EB" w:rsidRPr="00D24389" w:rsidTr="00E774AD">
        <w:trPr>
          <w:trHeight w:val="300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7EB" w:rsidRDefault="00AA37EB" w:rsidP="00AA37E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приема 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AA37EB" w:rsidRDefault="00B265F9" w:rsidP="00F84CAC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FD6C79">
              <w:rPr>
                <w:rFonts w:eastAsia="Calibri"/>
                <w:sz w:val="22"/>
                <w:szCs w:val="22"/>
                <w:lang w:val="en-US" w:eastAsia="ar-SA"/>
              </w:rPr>
              <w:t>7</w:t>
            </w:r>
            <w:r w:rsidR="00AA37EB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AA37EB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AA37EB" w:rsidRPr="00D24389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DF7AB2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AA37EB" w:rsidRPr="00D24389">
              <w:rPr>
                <w:rFonts w:eastAsia="Calibri"/>
                <w:sz w:val="22"/>
                <w:szCs w:val="22"/>
                <w:lang w:eastAsia="ar-SA"/>
              </w:rPr>
              <w:t xml:space="preserve"> года, в </w:t>
            </w:r>
            <w:r w:rsidR="00AA37EB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FD6C79">
              <w:rPr>
                <w:rFonts w:eastAsia="Calibri"/>
                <w:sz w:val="22"/>
                <w:szCs w:val="22"/>
                <w:lang w:val="en-US" w:eastAsia="ar-SA"/>
              </w:rPr>
              <w:t>6</w:t>
            </w:r>
            <w:r w:rsidR="00AA37EB" w:rsidRPr="00D24389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6A684C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AA37EB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AA37EB" w:rsidRPr="00D24389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  <w:p w:rsidR="003C1AD8" w:rsidRPr="00D24389" w:rsidRDefault="003C1AD8" w:rsidP="00F84CAC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A37EB" w:rsidRPr="00D24389" w:rsidTr="00E774AD">
        <w:trPr>
          <w:trHeight w:val="238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7EB" w:rsidRPr="00D24389" w:rsidRDefault="00AA37EB" w:rsidP="00DF7AB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Дата и время </w:t>
            </w:r>
            <w:r w:rsidR="00DF7AB2">
              <w:rPr>
                <w:rFonts w:eastAsia="Calibri"/>
                <w:sz w:val="22"/>
                <w:szCs w:val="22"/>
                <w:lang w:eastAsia="ar-SA"/>
              </w:rPr>
              <w:t>подведения итогов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DF7AB2" w:rsidRPr="00DF7AB2" w:rsidRDefault="00B265F9" w:rsidP="00DF7AB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FD6C79">
              <w:rPr>
                <w:rFonts w:eastAsia="Calibri"/>
                <w:sz w:val="22"/>
                <w:szCs w:val="22"/>
                <w:lang w:val="en-US" w:eastAsia="ar-SA"/>
              </w:rPr>
              <w:t>7</w:t>
            </w:r>
            <w:r w:rsidR="00DF7AB2" w:rsidRPr="00DF7AB2">
              <w:rPr>
                <w:rFonts w:eastAsia="Calibri"/>
                <w:sz w:val="22"/>
                <w:szCs w:val="22"/>
                <w:lang w:eastAsia="ar-SA"/>
              </w:rPr>
              <w:t>.0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DF7AB2" w:rsidRPr="00DF7AB2">
              <w:rPr>
                <w:rFonts w:eastAsia="Calibri"/>
                <w:sz w:val="22"/>
                <w:szCs w:val="22"/>
                <w:lang w:eastAsia="ar-SA"/>
              </w:rPr>
              <w:t>.2016 года, в 1</w:t>
            </w:r>
            <w:r w:rsidR="00FD6C79">
              <w:rPr>
                <w:rFonts w:eastAsia="Calibri"/>
                <w:sz w:val="22"/>
                <w:szCs w:val="22"/>
                <w:lang w:val="en-US" w:eastAsia="ar-SA"/>
              </w:rPr>
              <w:t>6</w:t>
            </w:r>
            <w:r w:rsidR="00DF7AB2" w:rsidRPr="00DF7AB2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6A684C">
              <w:rPr>
                <w:rFonts w:eastAsia="Calibri"/>
                <w:sz w:val="22"/>
                <w:szCs w:val="22"/>
                <w:lang w:eastAsia="ar-SA"/>
              </w:rPr>
              <w:t>3</w:t>
            </w:r>
            <w:bookmarkStart w:id="0" w:name="_GoBack"/>
            <w:bookmarkEnd w:id="0"/>
            <w:r w:rsidR="00DF7AB2" w:rsidRPr="00DF7AB2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F2534" w:rsidRPr="00D24389" w:rsidTr="00E774AD">
        <w:trPr>
          <w:trHeight w:val="2112"/>
        </w:trPr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Порядок предоставления </w:t>
            </w:r>
            <w:r w:rsidR="00DF7AB2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Pr="00D24389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Default="000F2534" w:rsidP="000F253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0F2534" w:rsidRPr="00D24389" w:rsidRDefault="00E774AD" w:rsidP="000F253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Предложение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 xml:space="preserve">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="000F2534" w:rsidRPr="003971A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0F2534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C1AD8" w:rsidRPr="003C1AD8" w:rsidRDefault="000F2534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Pr="003971A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являются копии следующих</w:t>
            </w:r>
            <w:r w:rsidR="003C1AD8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3C1AD8" w:rsidRPr="003C1AD8">
              <w:rPr>
                <w:rFonts w:eastAsia="Calibri"/>
                <w:sz w:val="22"/>
                <w:szCs w:val="22"/>
                <w:lang w:eastAsia="ar-SA"/>
              </w:rPr>
              <w:t>документов, заверенных печатью юридического лица (индивидуального предпринимателя):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</w:t>
            </w:r>
            <w:r w:rsidR="002B2DD3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3C1AD8">
              <w:rPr>
                <w:rFonts w:eastAsia="Calibri"/>
                <w:sz w:val="22"/>
                <w:szCs w:val="22"/>
                <w:lang w:eastAsia="ar-SA"/>
              </w:rPr>
              <w:t xml:space="preserve"> предшествующих дате заключения договора.</w:t>
            </w:r>
          </w:p>
          <w:p w:rsidR="003C1AD8" w:rsidRP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0F2534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1AD8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  <w:p w:rsidR="003C1AD8" w:rsidRDefault="003C1AD8" w:rsidP="003C1AD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A37EB" w:rsidRPr="00D24389" w:rsidTr="00E774AD">
        <w:trPr>
          <w:trHeight w:val="615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EB" w:rsidRPr="00D24389" w:rsidRDefault="00AA37EB" w:rsidP="00AA37E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2520" w:type="pct"/>
            <w:tcBorders>
              <w:left w:val="single" w:sz="4" w:space="0" w:color="auto"/>
            </w:tcBorders>
          </w:tcPr>
          <w:p w:rsidR="00AA37EB" w:rsidRPr="00D24389" w:rsidRDefault="00AA37EB" w:rsidP="00AA37E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val="en-US" w:eastAsia="ar-SA"/>
              </w:rPr>
              <w:t xml:space="preserve">http://zakupki.gov.ru </w:t>
            </w:r>
          </w:p>
        </w:tc>
      </w:tr>
    </w:tbl>
    <w:p w:rsidR="00A860DC" w:rsidRPr="00D24389" w:rsidRDefault="00A860DC" w:rsidP="00A860DC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A860DC" w:rsidRDefault="00A860DC" w:rsidP="00A860DC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216A3A" w:rsidRPr="00D24389" w:rsidRDefault="00216A3A" w:rsidP="00A860DC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A860DC" w:rsidRPr="00392E3D" w:rsidRDefault="00A860DC" w:rsidP="00392E3D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392E3D">
        <w:rPr>
          <w:rFonts w:eastAsia="Calibri"/>
          <w:sz w:val="28"/>
          <w:szCs w:val="28"/>
          <w:lang w:eastAsia="ar-SA"/>
        </w:rPr>
        <w:t>Член конкурсной комиссии</w:t>
      </w:r>
      <w:r w:rsidRPr="00392E3D">
        <w:rPr>
          <w:rFonts w:eastAsia="Calibri"/>
          <w:sz w:val="28"/>
          <w:szCs w:val="28"/>
          <w:lang w:eastAsia="ar-SA"/>
        </w:rPr>
        <w:tab/>
      </w:r>
      <w:r w:rsidRPr="00392E3D">
        <w:rPr>
          <w:rFonts w:eastAsia="Calibri"/>
          <w:sz w:val="28"/>
          <w:szCs w:val="28"/>
          <w:lang w:eastAsia="ar-SA"/>
        </w:rPr>
        <w:tab/>
      </w:r>
      <w:r w:rsidRPr="00392E3D">
        <w:rPr>
          <w:rFonts w:eastAsia="Calibri"/>
          <w:sz w:val="28"/>
          <w:szCs w:val="28"/>
          <w:lang w:eastAsia="ar-SA"/>
        </w:rPr>
        <w:tab/>
      </w:r>
      <w:r w:rsidRPr="00392E3D">
        <w:rPr>
          <w:rFonts w:eastAsia="Calibri"/>
          <w:sz w:val="28"/>
          <w:szCs w:val="28"/>
          <w:lang w:eastAsia="ar-SA"/>
        </w:rPr>
        <w:tab/>
      </w:r>
      <w:r w:rsidRPr="00392E3D">
        <w:rPr>
          <w:rFonts w:eastAsia="Calibri"/>
          <w:sz w:val="28"/>
          <w:szCs w:val="28"/>
          <w:lang w:eastAsia="ar-SA"/>
        </w:rPr>
        <w:tab/>
      </w:r>
      <w:r w:rsidRPr="00392E3D">
        <w:rPr>
          <w:rFonts w:eastAsia="Calibri"/>
          <w:sz w:val="28"/>
          <w:szCs w:val="28"/>
          <w:lang w:eastAsia="ar-SA"/>
        </w:rPr>
        <w:tab/>
      </w:r>
      <w:proofErr w:type="spellStart"/>
      <w:r w:rsidR="005E541B">
        <w:rPr>
          <w:rFonts w:eastAsia="Calibri"/>
          <w:sz w:val="28"/>
          <w:szCs w:val="28"/>
          <w:lang w:eastAsia="ar-SA"/>
        </w:rPr>
        <w:t>Показанов</w:t>
      </w:r>
      <w:proofErr w:type="spellEnd"/>
      <w:r w:rsidR="005E541B">
        <w:rPr>
          <w:rFonts w:eastAsia="Calibri"/>
          <w:sz w:val="28"/>
          <w:szCs w:val="28"/>
          <w:lang w:eastAsia="ar-SA"/>
        </w:rPr>
        <w:t xml:space="preserve"> Ю.О</w:t>
      </w:r>
      <w:r w:rsidR="00216A3A" w:rsidRPr="00392E3D">
        <w:rPr>
          <w:rFonts w:eastAsia="Calibri"/>
          <w:sz w:val="28"/>
          <w:szCs w:val="28"/>
          <w:lang w:eastAsia="ar-SA"/>
        </w:rPr>
        <w:t>.</w:t>
      </w:r>
    </w:p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D24389" w:rsidRPr="00375A49" w:rsidRDefault="00D24389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sectPr w:rsidR="00D24389" w:rsidRPr="00375A49" w:rsidSect="00BE7F09">
      <w:headerReference w:type="default" r:id="rId9"/>
      <w:pgSz w:w="11906" w:h="16838"/>
      <w:pgMar w:top="521" w:right="849" w:bottom="851" w:left="1418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6E" w:rsidRDefault="001A586E" w:rsidP="00065647">
      <w:r>
        <w:separator/>
      </w:r>
    </w:p>
  </w:endnote>
  <w:endnote w:type="continuationSeparator" w:id="0">
    <w:p w:rsidR="001A586E" w:rsidRDefault="001A586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6E" w:rsidRDefault="001A586E" w:rsidP="00065647">
      <w:r>
        <w:separator/>
      </w:r>
    </w:p>
  </w:footnote>
  <w:footnote w:type="continuationSeparator" w:id="0">
    <w:p w:rsidR="001A586E" w:rsidRDefault="001A586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51D1D9E" wp14:editId="09061663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2" name="Рисунок 2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0CCA">
      <w:rPr>
        <w:sz w:val="24"/>
      </w:rPr>
      <w:t>АО «</w:t>
    </w:r>
    <w:r w:rsidR="00692480" w:rsidRPr="00692480">
      <w:rPr>
        <w:sz w:val="24"/>
      </w:rPr>
      <w:t>Белгородские молочные фермы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50008"/>
    <w:rsid w:val="00053102"/>
    <w:rsid w:val="000567D8"/>
    <w:rsid w:val="00056B50"/>
    <w:rsid w:val="00065647"/>
    <w:rsid w:val="00081237"/>
    <w:rsid w:val="00083F77"/>
    <w:rsid w:val="000A417D"/>
    <w:rsid w:val="000B02AA"/>
    <w:rsid w:val="000C1BC9"/>
    <w:rsid w:val="000E3351"/>
    <w:rsid w:val="000E7FE0"/>
    <w:rsid w:val="000F2534"/>
    <w:rsid w:val="000F394F"/>
    <w:rsid w:val="000F475B"/>
    <w:rsid w:val="00107105"/>
    <w:rsid w:val="00121C74"/>
    <w:rsid w:val="00142382"/>
    <w:rsid w:val="00152B28"/>
    <w:rsid w:val="00156D6F"/>
    <w:rsid w:val="00166BBD"/>
    <w:rsid w:val="001738C6"/>
    <w:rsid w:val="001816D9"/>
    <w:rsid w:val="00190C45"/>
    <w:rsid w:val="001A586E"/>
    <w:rsid w:val="001A7371"/>
    <w:rsid w:val="001B478D"/>
    <w:rsid w:val="001B5817"/>
    <w:rsid w:val="001C57FD"/>
    <w:rsid w:val="001D4680"/>
    <w:rsid w:val="001D4945"/>
    <w:rsid w:val="00211314"/>
    <w:rsid w:val="00216A3A"/>
    <w:rsid w:val="0026096F"/>
    <w:rsid w:val="00281BFE"/>
    <w:rsid w:val="002A2B5E"/>
    <w:rsid w:val="002B11B7"/>
    <w:rsid w:val="002B198A"/>
    <w:rsid w:val="002B2DD3"/>
    <w:rsid w:val="002B2E36"/>
    <w:rsid w:val="002B460F"/>
    <w:rsid w:val="002D1612"/>
    <w:rsid w:val="002E367D"/>
    <w:rsid w:val="003179EE"/>
    <w:rsid w:val="00337F76"/>
    <w:rsid w:val="003407BC"/>
    <w:rsid w:val="0034150A"/>
    <w:rsid w:val="00355973"/>
    <w:rsid w:val="00375A49"/>
    <w:rsid w:val="00392E3D"/>
    <w:rsid w:val="003971A0"/>
    <w:rsid w:val="003A0DE2"/>
    <w:rsid w:val="003A2F2D"/>
    <w:rsid w:val="003B25B6"/>
    <w:rsid w:val="003C1AD8"/>
    <w:rsid w:val="003E5224"/>
    <w:rsid w:val="003F4362"/>
    <w:rsid w:val="003F66C2"/>
    <w:rsid w:val="0042082F"/>
    <w:rsid w:val="00427E98"/>
    <w:rsid w:val="004327AF"/>
    <w:rsid w:val="0044507E"/>
    <w:rsid w:val="00451F5F"/>
    <w:rsid w:val="00472368"/>
    <w:rsid w:val="00474231"/>
    <w:rsid w:val="004853A3"/>
    <w:rsid w:val="004B1C0E"/>
    <w:rsid w:val="004C1E3E"/>
    <w:rsid w:val="004C263E"/>
    <w:rsid w:val="004F4598"/>
    <w:rsid w:val="0050422B"/>
    <w:rsid w:val="005050E9"/>
    <w:rsid w:val="00512132"/>
    <w:rsid w:val="00532B0C"/>
    <w:rsid w:val="00534569"/>
    <w:rsid w:val="0054116C"/>
    <w:rsid w:val="00547A7E"/>
    <w:rsid w:val="00577B9F"/>
    <w:rsid w:val="00585644"/>
    <w:rsid w:val="005912FD"/>
    <w:rsid w:val="00595880"/>
    <w:rsid w:val="005A23E2"/>
    <w:rsid w:val="005E541B"/>
    <w:rsid w:val="005F1949"/>
    <w:rsid w:val="0061565E"/>
    <w:rsid w:val="0063205C"/>
    <w:rsid w:val="00633FF1"/>
    <w:rsid w:val="00644D19"/>
    <w:rsid w:val="00647D59"/>
    <w:rsid w:val="006758CC"/>
    <w:rsid w:val="006810F1"/>
    <w:rsid w:val="0068197C"/>
    <w:rsid w:val="00692480"/>
    <w:rsid w:val="006A684C"/>
    <w:rsid w:val="006B68A3"/>
    <w:rsid w:val="006C17A8"/>
    <w:rsid w:val="006C53AE"/>
    <w:rsid w:val="006D599E"/>
    <w:rsid w:val="006F2C0B"/>
    <w:rsid w:val="006F3D0A"/>
    <w:rsid w:val="0072531F"/>
    <w:rsid w:val="0074426D"/>
    <w:rsid w:val="007628A1"/>
    <w:rsid w:val="0076499B"/>
    <w:rsid w:val="00771C86"/>
    <w:rsid w:val="007812BC"/>
    <w:rsid w:val="00783E1A"/>
    <w:rsid w:val="00783E96"/>
    <w:rsid w:val="007A5DC4"/>
    <w:rsid w:val="007B01A8"/>
    <w:rsid w:val="007B6845"/>
    <w:rsid w:val="007C2D2A"/>
    <w:rsid w:val="007C305A"/>
    <w:rsid w:val="007F7122"/>
    <w:rsid w:val="008002EF"/>
    <w:rsid w:val="00804808"/>
    <w:rsid w:val="00824C3A"/>
    <w:rsid w:val="00825D2B"/>
    <w:rsid w:val="00835166"/>
    <w:rsid w:val="0084302C"/>
    <w:rsid w:val="0084401A"/>
    <w:rsid w:val="0085667C"/>
    <w:rsid w:val="00863D88"/>
    <w:rsid w:val="00887CA8"/>
    <w:rsid w:val="008B31AA"/>
    <w:rsid w:val="008D0B5C"/>
    <w:rsid w:val="008E25A4"/>
    <w:rsid w:val="008E5411"/>
    <w:rsid w:val="008E7634"/>
    <w:rsid w:val="008E7C87"/>
    <w:rsid w:val="008F565B"/>
    <w:rsid w:val="00905DF7"/>
    <w:rsid w:val="00905E91"/>
    <w:rsid w:val="009113E2"/>
    <w:rsid w:val="00927B9D"/>
    <w:rsid w:val="00941FCF"/>
    <w:rsid w:val="00952B55"/>
    <w:rsid w:val="009B3EE0"/>
    <w:rsid w:val="009E4642"/>
    <w:rsid w:val="009F082E"/>
    <w:rsid w:val="00A10227"/>
    <w:rsid w:val="00A157D0"/>
    <w:rsid w:val="00A22036"/>
    <w:rsid w:val="00A2507D"/>
    <w:rsid w:val="00A25F82"/>
    <w:rsid w:val="00A3286B"/>
    <w:rsid w:val="00A365C6"/>
    <w:rsid w:val="00A860DC"/>
    <w:rsid w:val="00A86848"/>
    <w:rsid w:val="00AA37EB"/>
    <w:rsid w:val="00AA6230"/>
    <w:rsid w:val="00AA6E9F"/>
    <w:rsid w:val="00AA70BE"/>
    <w:rsid w:val="00AC5113"/>
    <w:rsid w:val="00AD4D27"/>
    <w:rsid w:val="00AE0E32"/>
    <w:rsid w:val="00AE4D1C"/>
    <w:rsid w:val="00AF19C7"/>
    <w:rsid w:val="00B0624A"/>
    <w:rsid w:val="00B0681E"/>
    <w:rsid w:val="00B1624D"/>
    <w:rsid w:val="00B17FBE"/>
    <w:rsid w:val="00B265F9"/>
    <w:rsid w:val="00B27F99"/>
    <w:rsid w:val="00B3584A"/>
    <w:rsid w:val="00B457D8"/>
    <w:rsid w:val="00B463A4"/>
    <w:rsid w:val="00B566A2"/>
    <w:rsid w:val="00B606D5"/>
    <w:rsid w:val="00B61179"/>
    <w:rsid w:val="00B71E77"/>
    <w:rsid w:val="00B94F01"/>
    <w:rsid w:val="00B960C5"/>
    <w:rsid w:val="00BC020A"/>
    <w:rsid w:val="00BE0F06"/>
    <w:rsid w:val="00BE7F09"/>
    <w:rsid w:val="00BF1AE4"/>
    <w:rsid w:val="00BF33E2"/>
    <w:rsid w:val="00BF3F50"/>
    <w:rsid w:val="00C0132A"/>
    <w:rsid w:val="00C04B80"/>
    <w:rsid w:val="00C17CAF"/>
    <w:rsid w:val="00C35A3E"/>
    <w:rsid w:val="00C362FB"/>
    <w:rsid w:val="00C50595"/>
    <w:rsid w:val="00CC7568"/>
    <w:rsid w:val="00CD2529"/>
    <w:rsid w:val="00CD25F6"/>
    <w:rsid w:val="00CD36B7"/>
    <w:rsid w:val="00D24389"/>
    <w:rsid w:val="00D27CFE"/>
    <w:rsid w:val="00D30486"/>
    <w:rsid w:val="00D31CD0"/>
    <w:rsid w:val="00D3472B"/>
    <w:rsid w:val="00D3746E"/>
    <w:rsid w:val="00D7040E"/>
    <w:rsid w:val="00DA3C48"/>
    <w:rsid w:val="00DB3199"/>
    <w:rsid w:val="00DB6221"/>
    <w:rsid w:val="00DB6C5A"/>
    <w:rsid w:val="00DB7803"/>
    <w:rsid w:val="00DC49CE"/>
    <w:rsid w:val="00DD01EA"/>
    <w:rsid w:val="00DE1497"/>
    <w:rsid w:val="00DE73B3"/>
    <w:rsid w:val="00DF7AB2"/>
    <w:rsid w:val="00E20DA9"/>
    <w:rsid w:val="00E247A8"/>
    <w:rsid w:val="00E52789"/>
    <w:rsid w:val="00E55FE4"/>
    <w:rsid w:val="00E74A42"/>
    <w:rsid w:val="00E774AD"/>
    <w:rsid w:val="00E81965"/>
    <w:rsid w:val="00E95826"/>
    <w:rsid w:val="00EA0985"/>
    <w:rsid w:val="00EB5AD7"/>
    <w:rsid w:val="00EB7E81"/>
    <w:rsid w:val="00EF27EE"/>
    <w:rsid w:val="00EF2AA6"/>
    <w:rsid w:val="00F135C8"/>
    <w:rsid w:val="00F22C94"/>
    <w:rsid w:val="00F34881"/>
    <w:rsid w:val="00F35D5F"/>
    <w:rsid w:val="00F53093"/>
    <w:rsid w:val="00F57255"/>
    <w:rsid w:val="00F60E84"/>
    <w:rsid w:val="00F638E5"/>
    <w:rsid w:val="00F64249"/>
    <w:rsid w:val="00F678AD"/>
    <w:rsid w:val="00F84CAC"/>
    <w:rsid w:val="00FA6C52"/>
    <w:rsid w:val="00FB1DD4"/>
    <w:rsid w:val="00FC221E"/>
    <w:rsid w:val="00FC65BD"/>
    <w:rsid w:val="00FD0CCA"/>
    <w:rsid w:val="00FD1912"/>
    <w:rsid w:val="00FD34B5"/>
    <w:rsid w:val="00FD6C7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8C9E658-4BD1-4EDA-8511-8BFA3EB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5000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0008"/>
  </w:style>
  <w:style w:type="character" w:customStyle="1" w:styleId="af3">
    <w:name w:val="Текст примечания Знак"/>
    <w:basedOn w:val="a0"/>
    <w:link w:val="af2"/>
    <w:uiPriority w:val="99"/>
    <w:semiHidden/>
    <w:rsid w:val="00050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000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00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chenko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DC4C-1E00-4DCD-9BE1-88DBC2E6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58</cp:revision>
  <cp:lastPrinted>2016-06-06T07:25:00Z</cp:lastPrinted>
  <dcterms:created xsi:type="dcterms:W3CDTF">2014-07-04T14:29:00Z</dcterms:created>
  <dcterms:modified xsi:type="dcterms:W3CDTF">2016-08-15T13:03:00Z</dcterms:modified>
</cp:coreProperties>
</file>